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A587" w14:textId="77777777" w:rsidR="00B027BE" w:rsidRDefault="00B027BE" w:rsidP="00B027BE">
      <w:pPr>
        <w:pStyle w:val="a3"/>
        <w:tabs>
          <w:tab w:val="left" w:pos="-1260"/>
        </w:tabs>
        <w:spacing w:line="240" w:lineRule="auto"/>
        <w:ind w:leftChars="17" w:left="1991" w:rightChars="190" w:right="456" w:hangingChars="487" w:hanging="1950"/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8A6859">
        <w:rPr>
          <w:rFonts w:ascii="標楷體" w:eastAsia="標楷體" w:hAnsi="標楷體"/>
          <w:b/>
          <w:bCs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96E4A" wp14:editId="58A0F9DD">
                <wp:simplePos x="0" y="0"/>
                <wp:positionH relativeFrom="column">
                  <wp:posOffset>6269355</wp:posOffset>
                </wp:positionH>
                <wp:positionV relativeFrom="paragraph">
                  <wp:posOffset>6985</wp:posOffset>
                </wp:positionV>
                <wp:extent cx="407670" cy="1003935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1003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DCA8" w14:textId="77777777" w:rsidR="00B027BE" w:rsidRPr="00C5727C" w:rsidRDefault="00B027BE" w:rsidP="00B027BE">
                            <w:pPr>
                              <w:pStyle w:val="a3"/>
                              <w:tabs>
                                <w:tab w:val="left" w:pos="-1260"/>
                              </w:tabs>
                              <w:spacing w:line="240" w:lineRule="auto"/>
                              <w:ind w:leftChars="24" w:left="1623" w:rightChars="190" w:right="456" w:hangingChars="602" w:hanging="1565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59423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r w:rsidRPr="002D6BA6">
                              <w:rPr>
                                <w:rFonts w:ascii="標楷體" w:eastAsia="標楷體" w:hAnsi="標楷體" w:hint="eastAsia"/>
                                <w:w w:val="89"/>
                                <w:eastAsianLayout w:id="1109042176" w:vert="1" w:vertCompress="1"/>
                              </w:rPr>
                              <w:t>4-1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24"/>
                                <w:szCs w:val="32"/>
                              </w:rPr>
                              <w:t>再生能源</w:t>
                            </w:r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發電設備</w:t>
                            </w:r>
                            <w:proofErr w:type="gramStart"/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併</w:t>
                            </w:r>
                            <w:proofErr w:type="gramEnd"/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接自設內線全額躉售計量與計費說明</w:t>
                            </w:r>
                            <w:r w:rsidRPr="00893F2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設置者與用戶相同</w:t>
                            </w:r>
                            <w:r w:rsidRPr="00893F2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166F0F45" w14:textId="77777777" w:rsidR="00B027BE" w:rsidRPr="0059423E" w:rsidRDefault="00B027BE" w:rsidP="00B027B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6E4A" id="矩形 2" o:spid="_x0000_s1026" style="position:absolute;left:0;text-align:left;margin-left:493.65pt;margin-top:.55pt;width:32.1pt;height:7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" filled="f" stroked="f">
                <v:textbox style="layout-flow:vertical-ideographic">
                  <w:txbxContent>
                    <w:p w14:paraId="5C85DCA8" w14:textId="77777777" w:rsidR="00B027BE" w:rsidRPr="00C5727C" w:rsidRDefault="00B027BE" w:rsidP="00B027BE">
                      <w:pPr>
                        <w:pStyle w:val="a3"/>
                        <w:tabs>
                          <w:tab w:val="left" w:pos="-1260"/>
                        </w:tabs>
                        <w:spacing w:line="240" w:lineRule="auto"/>
                        <w:ind w:leftChars="24" w:left="1623" w:rightChars="190" w:right="456" w:hangingChars="602" w:hanging="1565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59423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</w:t>
                      </w:r>
                      <w:r w:rsidRPr="002D6BA6">
                        <w:rPr>
                          <w:rFonts w:ascii="標楷體" w:eastAsia="標楷體" w:hAnsi="標楷體" w:hint="eastAsia"/>
                          <w:w w:val="89"/>
                          <w:eastAsianLayout w:id="1109042176" w:vert="1" w:vertCompress="1"/>
                        </w:rPr>
                        <w:t>4-1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8A6859">
                        <w:rPr>
                          <w:rFonts w:ascii="標楷體" w:eastAsia="標楷體" w:hAnsi="標楷體" w:hint="eastAsia"/>
                          <w:bCs/>
                          <w:noProof/>
                          <w:sz w:val="24"/>
                          <w:szCs w:val="32"/>
                        </w:rPr>
                        <w:t>再生能源</w:t>
                      </w:r>
                      <w:r w:rsidRPr="008A6859"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發電設備</w:t>
                      </w:r>
                      <w:proofErr w:type="gramStart"/>
                      <w:r w:rsidRPr="008A6859"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併</w:t>
                      </w:r>
                      <w:proofErr w:type="gramEnd"/>
                      <w:r w:rsidRPr="008A6859"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接自設內線全額躉售計量與計費說明</w:t>
                      </w:r>
                      <w:r w:rsidRPr="00893F2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設置者與用戶相同</w:t>
                      </w:r>
                      <w:r w:rsidRPr="00893F2A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166F0F45" w14:textId="77777777" w:rsidR="00B027BE" w:rsidRPr="0059423E" w:rsidRDefault="00B027BE" w:rsidP="00B027BE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6859">
        <w:rPr>
          <w:rFonts w:ascii="標楷體" w:eastAsia="標楷體" w:hAnsi="標楷體" w:hint="eastAsia"/>
          <w:b/>
          <w:bCs/>
          <w:noProof/>
          <w:sz w:val="40"/>
          <w:szCs w:val="32"/>
        </w:rPr>
        <w:t>再生能源</w:t>
      </w:r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發電設備</w:t>
      </w:r>
      <w:proofErr w:type="gramStart"/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併</w:t>
      </w:r>
      <w:proofErr w:type="gramEnd"/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接自設內線</w:t>
      </w:r>
    </w:p>
    <w:p w14:paraId="77DDEECD" w14:textId="77777777" w:rsidR="00B027BE" w:rsidRDefault="00B027BE" w:rsidP="00B027BE">
      <w:pPr>
        <w:pStyle w:val="a3"/>
        <w:tabs>
          <w:tab w:val="left" w:pos="-1260"/>
        </w:tabs>
        <w:spacing w:line="240" w:lineRule="auto"/>
        <w:ind w:leftChars="17" w:left="1991" w:rightChars="190" w:right="456" w:hangingChars="487" w:hanging="195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全額躉售計量與計費說明</w:t>
      </w:r>
    </w:p>
    <w:p w14:paraId="181F289C" w14:textId="77777777" w:rsidR="00B027BE" w:rsidRDefault="00B027BE" w:rsidP="00B027BE">
      <w:pPr>
        <w:pStyle w:val="a3"/>
        <w:tabs>
          <w:tab w:val="left" w:pos="-1260"/>
        </w:tabs>
        <w:spacing w:beforeLines="100" w:before="360" w:line="440" w:lineRule="exact"/>
        <w:ind w:leftChars="2" w:left="1982" w:rightChars="190" w:right="456" w:hangingChars="706" w:hanging="19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一、適用對象</w:t>
      </w:r>
    </w:p>
    <w:p w14:paraId="7E659F24" w14:textId="77777777" w:rsidR="00B027BE" w:rsidRDefault="00B027BE" w:rsidP="00B027BE">
      <w:pPr>
        <w:pStyle w:val="a3"/>
        <w:tabs>
          <w:tab w:val="left" w:pos="-1260"/>
        </w:tabs>
        <w:spacing w:line="400" w:lineRule="exact"/>
        <w:ind w:leftChars="50" w:left="840" w:rightChars="117" w:right="281" w:firstLineChars="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乙方設置之再生能源發電設備再生能源發電系統，</w:t>
      </w:r>
      <w:proofErr w:type="gramStart"/>
      <w:r w:rsidRPr="00063E9B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063E9B">
        <w:rPr>
          <w:rFonts w:ascii="標楷體" w:eastAsia="標楷體" w:hAnsi="標楷體" w:hint="eastAsia"/>
          <w:sz w:val="28"/>
          <w:szCs w:val="28"/>
        </w:rPr>
        <w:t>接於</w:t>
      </w:r>
      <w:r>
        <w:rPr>
          <w:rFonts w:ascii="標楷體" w:eastAsia="標楷體" w:hAnsi="標楷體" w:hint="eastAsia"/>
          <w:sz w:val="28"/>
          <w:szCs w:val="28"/>
        </w:rPr>
        <w:t>自設內線</w:t>
      </w:r>
      <w:r w:rsidRPr="00063E9B">
        <w:rPr>
          <w:rFonts w:ascii="標楷體" w:eastAsia="標楷體" w:hAnsi="標楷體" w:hint="eastAsia"/>
          <w:sz w:val="28"/>
          <w:szCs w:val="28"/>
        </w:rPr>
        <w:t>用電系統</w:t>
      </w:r>
      <w:r>
        <w:rPr>
          <w:rFonts w:ascii="標楷體" w:eastAsia="標楷體" w:hAnsi="標楷體" w:hint="eastAsia"/>
          <w:sz w:val="28"/>
          <w:szCs w:val="28"/>
        </w:rPr>
        <w:t>，所產電能概躉售予甲方</w:t>
      </w:r>
      <w:r w:rsidRPr="00063E9B">
        <w:rPr>
          <w:rFonts w:ascii="標楷體" w:eastAsia="標楷體" w:hAnsi="標楷體" w:hint="eastAsia"/>
          <w:sz w:val="28"/>
          <w:szCs w:val="28"/>
        </w:rPr>
        <w:t>。</w:t>
      </w:r>
    </w:p>
    <w:p w14:paraId="1B972A4E" w14:textId="77777777" w:rsidR="00B027BE" w:rsidRPr="00FB7F75" w:rsidRDefault="00B027BE" w:rsidP="00B027BE">
      <w:pPr>
        <w:pStyle w:val="a3"/>
        <w:tabs>
          <w:tab w:val="left" w:pos="-1260"/>
        </w:tabs>
        <w:spacing w:line="400" w:lineRule="exact"/>
        <w:ind w:leftChars="50" w:left="840" w:right="283" w:firstLineChars="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proofErr w:type="gramStart"/>
      <w:r w:rsidRPr="00FB7F75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FB7F75">
        <w:rPr>
          <w:rFonts w:ascii="標楷體" w:eastAsia="標楷體" w:hAnsi="標楷體" w:hint="eastAsia"/>
          <w:sz w:val="28"/>
          <w:szCs w:val="28"/>
        </w:rPr>
        <w:t>接內線不同</w:t>
      </w:r>
      <w:proofErr w:type="gramStart"/>
      <w:r w:rsidRPr="00FB7F75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FB7F75">
        <w:rPr>
          <w:rFonts w:ascii="標楷體" w:eastAsia="標楷體" w:hAnsi="標楷體" w:hint="eastAsia"/>
          <w:sz w:val="28"/>
          <w:szCs w:val="28"/>
        </w:rPr>
        <w:t>接點之太陽光電發電設備，原則上一併接點</w:t>
      </w:r>
      <w:proofErr w:type="gramStart"/>
      <w:r w:rsidRPr="00FB7F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B7F75">
        <w:rPr>
          <w:rFonts w:ascii="標楷體" w:eastAsia="標楷體" w:hAnsi="標楷體" w:hint="eastAsia"/>
          <w:sz w:val="28"/>
          <w:szCs w:val="28"/>
        </w:rPr>
        <w:t>契約，且無法辦理單一機組移轉過戶。</w:t>
      </w:r>
    </w:p>
    <w:p w14:paraId="113EC07D" w14:textId="77777777" w:rsidR="00B027BE" w:rsidRPr="003C43AF" w:rsidRDefault="00B027BE" w:rsidP="00B027BE">
      <w:pPr>
        <w:pStyle w:val="a3"/>
        <w:tabs>
          <w:tab w:val="left" w:pos="-1260"/>
        </w:tabs>
        <w:spacing w:beforeLines="100" w:before="360" w:line="440" w:lineRule="exact"/>
        <w:ind w:leftChars="2" w:left="1982" w:rightChars="190" w:right="456" w:hangingChars="706" w:hanging="19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3C43AF">
        <w:rPr>
          <w:rFonts w:ascii="標楷體" w:eastAsia="標楷體" w:hAnsi="標楷體" w:hint="eastAsia"/>
          <w:sz w:val="28"/>
          <w:szCs w:val="28"/>
        </w:rPr>
        <w:t>、計量設備裝置方式</w:t>
      </w:r>
    </w:p>
    <w:p w14:paraId="2F6B4032" w14:textId="77777777" w:rsidR="00B027BE" w:rsidRDefault="00B027BE" w:rsidP="00B027BE">
      <w:pPr>
        <w:autoSpaceDE w:val="0"/>
        <w:autoSpaceDN w:val="0"/>
        <w:adjustRightInd w:val="0"/>
        <w:spacing w:line="400" w:lineRule="exact"/>
        <w:ind w:leftChars="50" w:left="896" w:rightChars="117" w:right="281" w:hangingChars="277" w:hanging="7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Pr="00063E9B">
        <w:rPr>
          <w:rFonts w:ascii="標楷體" w:eastAsia="標楷體" w:hAnsi="標楷體" w:hint="eastAsia"/>
          <w:sz w:val="28"/>
          <w:szCs w:val="28"/>
        </w:rPr>
        <w:t>乙方應於發電設備端</w:t>
      </w:r>
      <w:proofErr w:type="gramStart"/>
      <w:r w:rsidRPr="00063E9B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063E9B">
        <w:rPr>
          <w:rFonts w:ascii="標楷體" w:eastAsia="標楷體" w:hAnsi="標楷體" w:hint="eastAsia"/>
          <w:sz w:val="28"/>
          <w:szCs w:val="28"/>
        </w:rPr>
        <w:t>接點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易抄表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r w:rsidRPr="00063E9B">
        <w:rPr>
          <w:rFonts w:ascii="標楷體" w:eastAsia="標楷體" w:hAnsi="標楷體" w:hint="eastAsia"/>
          <w:sz w:val="28"/>
          <w:szCs w:val="28"/>
        </w:rPr>
        <w:t>加裝計量設備</w:t>
      </w: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cs="DFKaiShu-SB-Estd-BF"/>
          <w:b/>
          <w:kern w:val="0"/>
          <w:sz w:val="28"/>
          <w:szCs w:val="28"/>
        </w:rPr>
        <w:t>A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（</w:t>
      </w:r>
      <w:r w:rsidRPr="00FD6538">
        <w:rPr>
          <w:rFonts w:ascii="標楷體" w:eastAsia="標楷體" w:hAnsi="標楷體" w:cs="DFKaiShu-SB-Estd-BF"/>
          <w:b/>
          <w:kern w:val="0"/>
          <w:sz w:val="28"/>
          <w:szCs w:val="28"/>
        </w:rPr>
        <w:t>C</w:t>
      </w:r>
      <w:r w:rsidRPr="00FD653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…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）</w:t>
      </w:r>
      <w:r w:rsidRPr="00CC1D2C">
        <w:rPr>
          <w:rFonts w:ascii="標楷體" w:eastAsia="標楷體" w:hAnsi="標楷體" w:hint="eastAsia"/>
          <w:sz w:val="28"/>
          <w:szCs w:val="28"/>
        </w:rPr>
        <w:t>電表</w:t>
      </w:r>
      <w:r>
        <w:rPr>
          <w:rFonts w:ascii="標楷體" w:eastAsia="標楷體" w:hAnsi="標楷體" w:hint="eastAsia"/>
          <w:sz w:val="28"/>
          <w:szCs w:val="28"/>
        </w:rPr>
        <w:t>】，</w:t>
      </w:r>
      <w:r w:rsidRPr="00AE7BA9">
        <w:rPr>
          <w:rFonts w:ascii="標楷體" w:eastAsia="標楷體" w:hAnsi="標楷體" w:hint="eastAsia"/>
          <w:sz w:val="28"/>
          <w:szCs w:val="28"/>
        </w:rPr>
        <w:t>或得依台灣電力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股份有限</w:t>
      </w:r>
      <w:r w:rsidRPr="00AE7BA9">
        <w:rPr>
          <w:rFonts w:ascii="標楷體" w:eastAsia="標楷體" w:hAnsi="標楷體" w:hint="eastAsia"/>
          <w:sz w:val="28"/>
          <w:szCs w:val="28"/>
        </w:rPr>
        <w:t>公司營業規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AE7BA9">
        <w:rPr>
          <w:rFonts w:ascii="標楷體" w:eastAsia="標楷體" w:hAnsi="標楷體" w:hint="eastAsia"/>
          <w:sz w:val="28"/>
          <w:szCs w:val="28"/>
        </w:rPr>
        <w:t>器材租用規定向甲方租用</w:t>
      </w:r>
      <w:r w:rsidRPr="00063E9B">
        <w:rPr>
          <w:rFonts w:ascii="標楷體" w:eastAsia="標楷體" w:hAnsi="標楷體" w:hint="eastAsia"/>
          <w:sz w:val="28"/>
          <w:szCs w:val="28"/>
        </w:rPr>
        <w:t>，以該計量設備計得之電能</w:t>
      </w:r>
      <w:proofErr w:type="gramStart"/>
      <w:r w:rsidRPr="00063E9B">
        <w:rPr>
          <w:rFonts w:ascii="標楷體" w:eastAsia="標楷體" w:hAnsi="標楷體" w:hint="eastAsia"/>
          <w:sz w:val="28"/>
          <w:szCs w:val="28"/>
        </w:rPr>
        <w:t>躉</w:t>
      </w:r>
      <w:proofErr w:type="gramEnd"/>
      <w:r w:rsidRPr="00063E9B">
        <w:rPr>
          <w:rFonts w:ascii="標楷體" w:eastAsia="標楷體" w:hAnsi="標楷體" w:hint="eastAsia"/>
          <w:sz w:val="28"/>
          <w:szCs w:val="28"/>
        </w:rPr>
        <w:t>售予甲方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A8E43" w14:textId="77777777" w:rsidR="00B027BE" w:rsidRDefault="00B027BE" w:rsidP="00B027BE">
      <w:pPr>
        <w:pStyle w:val="a3"/>
        <w:tabs>
          <w:tab w:val="left" w:pos="-1260"/>
        </w:tabs>
        <w:snapToGrid/>
        <w:spacing w:line="400" w:lineRule="exact"/>
        <w:ind w:leftChars="50" w:left="896" w:rightChars="117" w:right="281" w:hangingChars="277" w:hanging="7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 由甲方</w:t>
      </w:r>
      <w:r w:rsidRPr="00063E9B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聯電力系統</w:t>
      </w:r>
      <w:r w:rsidRPr="00063E9B">
        <w:rPr>
          <w:rFonts w:ascii="標楷體" w:eastAsia="標楷體" w:hAnsi="標楷體" w:hint="eastAsia"/>
          <w:sz w:val="28"/>
          <w:szCs w:val="28"/>
        </w:rPr>
        <w:t>責任分界點裝置一</w:t>
      </w:r>
      <w:r>
        <w:rPr>
          <w:rFonts w:ascii="標楷體" w:eastAsia="標楷體" w:hAnsi="標楷體" w:hint="eastAsia"/>
          <w:sz w:val="28"/>
          <w:szCs w:val="28"/>
        </w:rPr>
        <w:t>套</w:t>
      </w:r>
      <w:r w:rsidRPr="00063E9B">
        <w:rPr>
          <w:rFonts w:ascii="標楷體" w:eastAsia="標楷體" w:hAnsi="標楷體" w:hint="eastAsia"/>
          <w:sz w:val="28"/>
          <w:szCs w:val="28"/>
        </w:rPr>
        <w:t>計量設備(</w:t>
      </w:r>
      <w:r w:rsidRPr="000B7E2C">
        <w:rPr>
          <w:rFonts w:ascii="標楷體" w:eastAsia="標楷體" w:hAnsi="標楷體" w:hint="eastAsia"/>
          <w:b/>
          <w:sz w:val="28"/>
          <w:szCs w:val="28"/>
        </w:rPr>
        <w:t>B</w:t>
      </w:r>
      <w:r w:rsidRPr="00063E9B">
        <w:rPr>
          <w:rFonts w:ascii="標楷體" w:eastAsia="標楷體" w:hAnsi="標楷體" w:hint="eastAsia"/>
          <w:sz w:val="28"/>
          <w:szCs w:val="28"/>
        </w:rPr>
        <w:t>電表)</w:t>
      </w:r>
      <w:r w:rsidRPr="00AE7BA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因乙方為甲方之既設供電用戶，該</w:t>
      </w:r>
      <w:r w:rsidRPr="00AE7BA9">
        <w:rPr>
          <w:rFonts w:ascii="標楷體" w:eastAsia="標楷體" w:hAnsi="標楷體" w:hint="eastAsia"/>
          <w:sz w:val="28"/>
          <w:szCs w:val="28"/>
        </w:rPr>
        <w:t>計量設備由</w:t>
      </w:r>
      <w:proofErr w:type="gramStart"/>
      <w:r w:rsidRPr="00AE7BA9">
        <w:rPr>
          <w:rFonts w:ascii="標楷體" w:eastAsia="標楷體" w:hAnsi="標楷體" w:hint="eastAsia"/>
          <w:sz w:val="28"/>
          <w:szCs w:val="28"/>
        </w:rPr>
        <w:t>甲方備置</w:t>
      </w:r>
      <w:proofErr w:type="gramEnd"/>
      <w:r w:rsidRPr="00AE7BA9">
        <w:rPr>
          <w:rFonts w:ascii="標楷體" w:eastAsia="標楷體" w:hAnsi="標楷體" w:hint="eastAsia"/>
          <w:sz w:val="28"/>
          <w:szCs w:val="28"/>
        </w:rPr>
        <w:t>並管理維護，並依台灣電力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股份有限</w:t>
      </w:r>
      <w:r w:rsidRPr="00AE7BA9">
        <w:rPr>
          <w:rFonts w:ascii="標楷體" w:eastAsia="標楷體" w:hAnsi="標楷體" w:hint="eastAsia"/>
          <w:sz w:val="28"/>
          <w:szCs w:val="28"/>
        </w:rPr>
        <w:t>公司營業規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AE7BA9">
        <w:rPr>
          <w:rFonts w:ascii="標楷體" w:eastAsia="標楷體" w:hAnsi="標楷體" w:hint="eastAsia"/>
          <w:sz w:val="28"/>
          <w:szCs w:val="28"/>
        </w:rPr>
        <w:t>之器材租用規定提供</w:t>
      </w:r>
      <w:r>
        <w:rPr>
          <w:rFonts w:ascii="標楷體" w:eastAsia="標楷體" w:hAnsi="標楷體" w:hint="eastAsia"/>
          <w:sz w:val="28"/>
          <w:szCs w:val="28"/>
        </w:rPr>
        <w:t>乙方</w:t>
      </w:r>
      <w:r w:rsidRPr="00AE7BA9">
        <w:rPr>
          <w:rFonts w:ascii="標楷體" w:eastAsia="標楷體" w:hAnsi="標楷體" w:hint="eastAsia"/>
          <w:sz w:val="28"/>
          <w:szCs w:val="28"/>
        </w:rPr>
        <w:t>租用。</w:t>
      </w:r>
    </w:p>
    <w:p w14:paraId="1E8080DA" w14:textId="77777777" w:rsidR="00B027BE" w:rsidRDefault="00B027BE" w:rsidP="00B027BE">
      <w:pPr>
        <w:autoSpaceDE w:val="0"/>
        <w:autoSpaceDN w:val="0"/>
        <w:adjustRightInd w:val="0"/>
        <w:spacing w:line="400" w:lineRule="exact"/>
        <w:ind w:leftChars="50" w:left="896" w:rightChars="117" w:right="281" w:hangingChars="277" w:hanging="776"/>
        <w:jc w:val="both"/>
        <w:rPr>
          <w:rFonts w:ascii="標楷體" w:eastAsia="標楷體" w:hAnsi="標楷體"/>
          <w:sz w:val="28"/>
          <w:szCs w:val="28"/>
        </w:rPr>
      </w:pPr>
      <w:r w:rsidRPr="00FD6538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FD6538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FD6538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以此相關計量設備經運算計得之電能差異量，列計為甲方售予乙方使用之電能，甲方應按台灣電力股份有限公司電價表規定費率向乙方計收電費。</w:t>
      </w:r>
    </w:p>
    <w:p w14:paraId="42DBDCDF" w14:textId="77777777" w:rsidR="00B027BE" w:rsidRPr="001B775E" w:rsidRDefault="00B027BE" w:rsidP="00B027BE">
      <w:pPr>
        <w:pStyle w:val="a3"/>
        <w:tabs>
          <w:tab w:val="left" w:pos="-1260"/>
        </w:tabs>
        <w:spacing w:beforeLines="100" w:before="360" w:line="440" w:lineRule="exact"/>
        <w:ind w:left="546" w:rightChars="176" w:right="422" w:hangingChars="195" w:hanging="5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三、</w:t>
      </w:r>
      <w:proofErr w:type="gramStart"/>
      <w:r w:rsidRPr="001B775E">
        <w:rPr>
          <w:rFonts w:ascii="標楷體" w:eastAsia="標楷體" w:hAnsi="標楷體" w:cs="Arial" w:hint="eastAsia"/>
          <w:sz w:val="28"/>
          <w:szCs w:val="28"/>
        </w:rPr>
        <w:t>倘</w:t>
      </w:r>
      <w:r>
        <w:rPr>
          <w:rFonts w:ascii="標楷體" w:eastAsia="標楷體" w:hAnsi="標楷體" w:cs="Arial" w:hint="eastAsia"/>
          <w:sz w:val="28"/>
          <w:szCs w:val="28"/>
        </w:rPr>
        <w:t>乙方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用電戶</w:t>
      </w:r>
      <w:r w:rsidRPr="001B775E">
        <w:rPr>
          <w:rFonts w:ascii="標楷體" w:eastAsia="標楷體" w:hAnsi="標楷體" w:cs="Arial" w:hint="eastAsia"/>
          <w:sz w:val="28"/>
          <w:szCs w:val="28"/>
        </w:rPr>
        <w:t>發生違反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營業規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1B775E">
        <w:rPr>
          <w:rFonts w:ascii="標楷體" w:eastAsia="標楷體" w:hAnsi="標楷體" w:hint="eastAsia"/>
          <w:sz w:val="28"/>
          <w:szCs w:val="28"/>
        </w:rPr>
        <w:t>第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1B775E">
        <w:rPr>
          <w:rFonts w:ascii="標楷體" w:eastAsia="標楷體" w:hAnsi="標楷體" w:hint="eastAsia"/>
          <w:sz w:val="28"/>
          <w:szCs w:val="28"/>
        </w:rPr>
        <w:t>0條規定，並於</w:t>
      </w:r>
      <w:r>
        <w:rPr>
          <w:rFonts w:ascii="標楷體" w:eastAsia="標楷體" w:hAnsi="標楷體" w:hint="eastAsia"/>
          <w:sz w:val="28"/>
          <w:szCs w:val="28"/>
        </w:rPr>
        <w:t>指定期限</w:t>
      </w:r>
      <w:r w:rsidRPr="001B775E">
        <w:rPr>
          <w:rFonts w:ascii="標楷體" w:eastAsia="標楷體" w:hAnsi="標楷體" w:hint="eastAsia"/>
          <w:sz w:val="28"/>
          <w:szCs w:val="28"/>
        </w:rPr>
        <w:t>內未排除停電原因者，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得依同規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1B775E">
        <w:rPr>
          <w:rFonts w:ascii="標楷體" w:eastAsia="標楷體" w:hAnsi="標楷體" w:hint="eastAsia"/>
          <w:sz w:val="28"/>
          <w:szCs w:val="28"/>
        </w:rPr>
        <w:t>第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Pr="001B775E">
        <w:rPr>
          <w:rFonts w:ascii="標楷體" w:eastAsia="標楷體" w:hAnsi="標楷體" w:hint="eastAsia"/>
          <w:sz w:val="28"/>
          <w:szCs w:val="28"/>
        </w:rPr>
        <w:t>1條規定主動終止供電契約，</w:t>
      </w:r>
      <w:r>
        <w:rPr>
          <w:rFonts w:ascii="標楷體" w:eastAsia="標楷體" w:hAnsi="標楷體" w:hint="eastAsia"/>
          <w:sz w:val="28"/>
          <w:szCs w:val="28"/>
        </w:rPr>
        <w:t>用電戶</w:t>
      </w:r>
      <w:r w:rsidRPr="001B775E">
        <w:rPr>
          <w:rFonts w:ascii="標楷體" w:eastAsia="標楷體" w:hAnsi="標楷體" w:hint="eastAsia"/>
          <w:sz w:val="28"/>
          <w:szCs w:val="28"/>
        </w:rPr>
        <w:t>簽訂之再生能源發電系統電能購售契約配合前述供電契約終止</w:t>
      </w:r>
      <w:proofErr w:type="gramStart"/>
      <w:r w:rsidRPr="001B775E">
        <w:rPr>
          <w:rFonts w:ascii="標楷體" w:eastAsia="標楷體" w:hAnsi="標楷體" w:hint="eastAsia"/>
          <w:sz w:val="28"/>
          <w:szCs w:val="28"/>
        </w:rPr>
        <w:t>予以拆表者</w:t>
      </w:r>
      <w:proofErr w:type="gramEnd"/>
      <w:r w:rsidRPr="001B775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將</w:t>
      </w:r>
      <w:r>
        <w:rPr>
          <w:rFonts w:ascii="標楷體" w:eastAsia="標楷體" w:hAnsi="標楷體" w:hint="eastAsia"/>
          <w:sz w:val="28"/>
          <w:szCs w:val="28"/>
        </w:rPr>
        <w:t>另</w:t>
      </w:r>
      <w:r w:rsidRPr="001B775E">
        <w:rPr>
          <w:rFonts w:ascii="標楷體" w:eastAsia="標楷體" w:hAnsi="標楷體" w:hint="eastAsia"/>
          <w:sz w:val="28"/>
          <w:szCs w:val="28"/>
        </w:rPr>
        <w:t>以書面通知改善，如逾30日仍未改善或該事由仍持續者，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得終止本契約。前述</w:t>
      </w:r>
      <w:r>
        <w:rPr>
          <w:rFonts w:ascii="標楷體" w:eastAsia="標楷體" w:hAnsi="標楷體" w:hint="eastAsia"/>
          <w:sz w:val="28"/>
          <w:szCs w:val="28"/>
        </w:rPr>
        <w:t>停電期間及</w:t>
      </w:r>
      <w:r w:rsidRPr="001B775E">
        <w:rPr>
          <w:rFonts w:ascii="標楷體" w:eastAsia="標楷體" w:hAnsi="標楷體" w:hint="eastAsia"/>
          <w:sz w:val="28"/>
          <w:szCs w:val="28"/>
        </w:rPr>
        <w:t>供電契約</w:t>
      </w:r>
      <w:proofErr w:type="gramStart"/>
      <w:r w:rsidRPr="001B775E">
        <w:rPr>
          <w:rFonts w:ascii="標楷體" w:eastAsia="標楷體" w:hAnsi="標楷體" w:hint="eastAsia"/>
          <w:sz w:val="28"/>
          <w:szCs w:val="28"/>
        </w:rPr>
        <w:t>終止致購電</w:t>
      </w:r>
      <w:proofErr w:type="gramEnd"/>
      <w:r w:rsidRPr="001B775E">
        <w:rPr>
          <w:rFonts w:ascii="標楷體" w:eastAsia="標楷體" w:hAnsi="標楷體" w:hint="eastAsia"/>
          <w:sz w:val="28"/>
          <w:szCs w:val="28"/>
        </w:rPr>
        <w:t>契約終止所</w:t>
      </w:r>
      <w:r>
        <w:rPr>
          <w:rFonts w:ascii="標楷體" w:eastAsia="標楷體" w:hAnsi="標楷體" w:hint="eastAsia"/>
          <w:sz w:val="28"/>
          <w:szCs w:val="28"/>
        </w:rPr>
        <w:t>衍</w:t>
      </w:r>
      <w:r w:rsidRPr="001B775E">
        <w:rPr>
          <w:rFonts w:ascii="標楷體" w:eastAsia="標楷體" w:hAnsi="標楷體" w:hint="eastAsia"/>
          <w:sz w:val="28"/>
          <w:szCs w:val="28"/>
        </w:rPr>
        <w:t>生之任何損失概由乙方負責。</w:t>
      </w:r>
    </w:p>
    <w:p w14:paraId="07B54144" w14:textId="77777777" w:rsidR="00B027BE" w:rsidRDefault="00B027BE" w:rsidP="00B027B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F95708B" w14:textId="77777777" w:rsidR="00B027BE" w:rsidRDefault="00B027BE" w:rsidP="00B027BE">
      <w:pPr>
        <w:autoSpaceDE w:val="0"/>
        <w:autoSpaceDN w:val="0"/>
        <w:adjustRightInd w:val="0"/>
        <w:snapToGrid w:val="0"/>
        <w:spacing w:beforeLines="70" w:before="252" w:line="440" w:lineRule="exact"/>
        <w:ind w:leftChars="2" w:left="1982" w:rightChars="190" w:right="456" w:hangingChars="706" w:hanging="19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0563580D" wp14:editId="4F35997A">
            <wp:simplePos x="0" y="0"/>
            <wp:positionH relativeFrom="column">
              <wp:posOffset>41910</wp:posOffset>
            </wp:positionH>
            <wp:positionV relativeFrom="paragraph">
              <wp:posOffset>323850</wp:posOffset>
            </wp:positionV>
            <wp:extent cx="6115050" cy="2952750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063E9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甲</w:t>
      </w:r>
      <w:r w:rsidRPr="00063E9B">
        <w:rPr>
          <w:rFonts w:ascii="標楷體" w:eastAsia="標楷體" w:hAnsi="標楷體" w:hint="eastAsia"/>
          <w:sz w:val="28"/>
          <w:szCs w:val="28"/>
        </w:rPr>
        <w:t>乙</w:t>
      </w:r>
      <w:r>
        <w:rPr>
          <w:rFonts w:ascii="標楷體" w:eastAsia="標楷體" w:hAnsi="標楷體" w:hint="eastAsia"/>
          <w:sz w:val="28"/>
          <w:szCs w:val="28"/>
        </w:rPr>
        <w:t>雙</w:t>
      </w:r>
      <w:r w:rsidRPr="00063E9B">
        <w:rPr>
          <w:rFonts w:ascii="標楷體" w:eastAsia="標楷體" w:hAnsi="標楷體" w:hint="eastAsia"/>
          <w:sz w:val="28"/>
          <w:szCs w:val="28"/>
        </w:rPr>
        <w:t>方</w:t>
      </w:r>
      <w:r>
        <w:rPr>
          <w:rFonts w:ascii="標楷體" w:eastAsia="標楷體" w:hAnsi="標楷體" w:hint="eastAsia"/>
          <w:sz w:val="28"/>
          <w:szCs w:val="28"/>
        </w:rPr>
        <w:t>購售</w:t>
      </w:r>
      <w:r w:rsidRPr="00063E9B">
        <w:rPr>
          <w:rFonts w:ascii="標楷體" w:eastAsia="標楷體" w:hAnsi="標楷體" w:hint="eastAsia"/>
          <w:sz w:val="28"/>
          <w:szCs w:val="28"/>
        </w:rPr>
        <w:t>電能說明</w:t>
      </w:r>
      <w:r>
        <w:rPr>
          <w:rFonts w:ascii="標楷體" w:eastAsia="標楷體" w:hAnsi="標楷體" w:hint="eastAsia"/>
          <w:sz w:val="28"/>
          <w:szCs w:val="28"/>
        </w:rPr>
        <w:t>如下：</w:t>
      </w:r>
    </w:p>
    <w:p w14:paraId="330B7018" w14:textId="77777777" w:rsidR="00B027BE" w:rsidRDefault="00B027BE" w:rsidP="00B027BE">
      <w:pPr>
        <w:pStyle w:val="a3"/>
        <w:tabs>
          <w:tab w:val="left" w:pos="-1260"/>
        </w:tabs>
        <w:spacing w:line="440" w:lineRule="exact"/>
        <w:ind w:leftChars="118" w:left="877" w:rightChars="-260" w:right="-624" w:hangingChars="212" w:hanging="59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 乙方</w:t>
      </w:r>
      <w:r w:rsidRPr="00786D1A">
        <w:rPr>
          <w:rFonts w:ascii="標楷體" w:eastAsia="標楷體" w:hAnsi="標楷體" w:cs="Arial" w:hint="eastAsia"/>
          <w:sz w:val="28"/>
          <w:szCs w:val="28"/>
        </w:rPr>
        <w:t>發電電能</w:t>
      </w:r>
      <w:r>
        <w:rPr>
          <w:rFonts w:ascii="標楷體" w:eastAsia="標楷體" w:hAnsi="標楷體" w:cs="Arial" w:hint="eastAsia"/>
          <w:sz w:val="28"/>
          <w:szCs w:val="28"/>
        </w:rPr>
        <w:t>自行</w:t>
      </w:r>
      <w:r w:rsidRPr="00786D1A">
        <w:rPr>
          <w:rFonts w:ascii="標楷體" w:eastAsia="標楷體" w:hAnsi="標楷體" w:cs="Arial" w:hint="eastAsia"/>
          <w:sz w:val="28"/>
          <w:szCs w:val="28"/>
        </w:rPr>
        <w:t>使用度數</w:t>
      </w:r>
      <w:r>
        <w:rPr>
          <w:rFonts w:ascii="標楷體" w:eastAsia="標楷體" w:hAnsi="標楷體" w:cs="Arial" w:hint="eastAsia"/>
          <w:sz w:val="28"/>
          <w:szCs w:val="28"/>
        </w:rPr>
        <w:t xml:space="preserve"> =</w:t>
      </w:r>
      <w:r w:rsidRPr="00E04219">
        <w:rPr>
          <w:rFonts w:ascii="標楷體" w:eastAsia="標楷體" w:hAnsi="標楷體" w:cs="Arial" w:hint="eastAsia"/>
          <w:sz w:val="28"/>
          <w:szCs w:val="28"/>
        </w:rPr>
        <w:t>(</w:t>
      </w:r>
      <w:r w:rsidRPr="00E04219">
        <w:rPr>
          <w:rFonts w:ascii="標楷體" w:eastAsia="標楷體" w:hAnsi="標楷體" w:cs="Arial"/>
          <w:sz w:val="28"/>
          <w:szCs w:val="28"/>
        </w:rPr>
        <w:t>MOF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A,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（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C,</w:t>
      </w:r>
      <w:r w:rsidRPr="00FD6538">
        <w:rPr>
          <w:rFonts w:ascii="標楷體" w:eastAsia="標楷體" w:hAnsi="標楷體" w:cs="DFKaiShu-SB-Estd-BF" w:hint="eastAsia"/>
          <w:kern w:val="0"/>
          <w:sz w:val="14"/>
          <w:szCs w:val="14"/>
        </w:rPr>
        <w:t>…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）</w:t>
      </w:r>
      <w:r w:rsidRPr="00E04219">
        <w:rPr>
          <w:rFonts w:ascii="標楷體" w:eastAsia="標楷體" w:hAnsi="標楷體" w:cs="Arial" w:hint="eastAsia"/>
          <w:sz w:val="28"/>
          <w:szCs w:val="28"/>
        </w:rPr>
        <w:t>CH3</w:t>
      </w:r>
      <w:r w:rsidRPr="00E04219">
        <w:rPr>
          <w:rFonts w:ascii="標楷體" w:eastAsia="標楷體" w:hAnsi="標楷體" w:cs="Arial"/>
          <w:sz w:val="28"/>
          <w:szCs w:val="28"/>
        </w:rPr>
        <w:t>－MOF</w:t>
      </w:r>
      <w:r w:rsidRPr="00E04219">
        <w:rPr>
          <w:rFonts w:ascii="標楷體" w:eastAsia="標楷體" w:hAnsi="標楷體" w:cs="Arial" w:hint="eastAsia"/>
          <w:sz w:val="28"/>
          <w:szCs w:val="28"/>
          <w:vertAlign w:val="subscript"/>
        </w:rPr>
        <w:t>B</w:t>
      </w:r>
      <w:r w:rsidRPr="00E04219">
        <w:rPr>
          <w:rFonts w:ascii="標楷體" w:eastAsia="標楷體" w:hAnsi="標楷體" w:cs="Arial" w:hint="eastAsia"/>
          <w:sz w:val="28"/>
          <w:szCs w:val="28"/>
        </w:rPr>
        <w:t>CH3)</w:t>
      </w:r>
      <w:r>
        <w:rPr>
          <w:rFonts w:ascii="標楷體" w:eastAsia="標楷體" w:hAnsi="標楷體" w:cs="Arial" w:hint="eastAsia"/>
          <w:sz w:val="28"/>
          <w:szCs w:val="28"/>
        </w:rPr>
        <w:t>之度數。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425"/>
        <w:gridCol w:w="7256"/>
      </w:tblGrid>
      <w:tr w:rsidR="00B027BE" w:rsidRPr="00E04219" w14:paraId="0DA18357" w14:textId="77777777" w:rsidTr="007646A9">
        <w:tc>
          <w:tcPr>
            <w:tcW w:w="1440" w:type="dxa"/>
            <w:shd w:val="clear" w:color="auto" w:fill="auto"/>
          </w:tcPr>
          <w:p w14:paraId="58D81C43" w14:textId="77777777" w:rsidR="00B027BE" w:rsidRPr="00E04219" w:rsidRDefault="00B027BE" w:rsidP="007646A9">
            <w:pPr>
              <w:pStyle w:val="a3"/>
              <w:tabs>
                <w:tab w:val="left" w:pos="-1260"/>
              </w:tabs>
              <w:spacing w:line="440" w:lineRule="exact"/>
              <w:ind w:left="0" w:rightChars="-45" w:right="-108" w:firstLineChars="0" w:firstLine="0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[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註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]：(1)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ab/>
            </w:r>
          </w:p>
        </w:tc>
        <w:tc>
          <w:tcPr>
            <w:tcW w:w="7490" w:type="dxa"/>
            <w:shd w:val="clear" w:color="auto" w:fill="auto"/>
          </w:tcPr>
          <w:p w14:paraId="75C1247B" w14:textId="77777777" w:rsidR="00B027BE" w:rsidRPr="00E04219" w:rsidRDefault="00B027BE" w:rsidP="007646A9">
            <w:pPr>
              <w:pStyle w:val="a3"/>
              <w:tabs>
                <w:tab w:val="left" w:pos="-1260"/>
              </w:tabs>
              <w:spacing w:line="440" w:lineRule="exact"/>
              <w:ind w:left="1" w:rightChars="129" w:right="310" w:firstLineChars="0" w:firstLine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乙方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如為甲方之時間電價用電戶，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應計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乙方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用電度數依各時間區段計量值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加計後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，按各段時間電價分段計算電費。</w:t>
            </w:r>
          </w:p>
        </w:tc>
      </w:tr>
      <w:tr w:rsidR="00B027BE" w:rsidRPr="00E04219" w14:paraId="7DCADB83" w14:textId="77777777" w:rsidTr="007646A9">
        <w:tc>
          <w:tcPr>
            <w:tcW w:w="1440" w:type="dxa"/>
            <w:shd w:val="clear" w:color="auto" w:fill="auto"/>
          </w:tcPr>
          <w:p w14:paraId="08384F70" w14:textId="77777777" w:rsidR="00B027BE" w:rsidRPr="00E04219" w:rsidRDefault="00B027BE" w:rsidP="007646A9">
            <w:pPr>
              <w:pStyle w:val="a3"/>
              <w:tabs>
                <w:tab w:val="left" w:pos="-1260"/>
              </w:tabs>
              <w:spacing w:line="440" w:lineRule="exact"/>
              <w:ind w:left="0" w:rightChars="-45" w:right="-108" w:firstLineChars="0" w:firstLine="0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(2)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ab/>
            </w:r>
          </w:p>
        </w:tc>
        <w:tc>
          <w:tcPr>
            <w:tcW w:w="7490" w:type="dxa"/>
            <w:shd w:val="clear" w:color="auto" w:fill="auto"/>
          </w:tcPr>
          <w:p w14:paraId="734C4351" w14:textId="77777777" w:rsidR="00B027BE" w:rsidRDefault="00B027BE" w:rsidP="007646A9">
            <w:pPr>
              <w:pStyle w:val="a3"/>
              <w:tabs>
                <w:tab w:val="left" w:pos="-1260"/>
              </w:tabs>
              <w:spacing w:line="440" w:lineRule="exact"/>
              <w:ind w:left="1" w:rightChars="129" w:right="310" w:firstLineChars="0" w:firstLine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最高需量應以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>MOF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  <w:vertAlign w:val="subscript"/>
              </w:rPr>
              <w:t>B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CH1及(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>MOF</w:t>
            </w:r>
            <w:r w:rsidRPr="00FD6538">
              <w:rPr>
                <w:rFonts w:ascii="標楷體" w:eastAsia="標楷體" w:hAnsi="標楷體" w:cs="DFKaiShu-SB-Estd-BF"/>
                <w:kern w:val="0"/>
                <w:sz w:val="14"/>
                <w:szCs w:val="14"/>
              </w:rPr>
              <w:t>A,</w:t>
            </w:r>
            <w:r>
              <w:rPr>
                <w:rFonts w:ascii="標楷體" w:eastAsia="標楷體" w:hAnsi="標楷體" w:cs="DFKaiShu-SB-Estd-BF" w:hint="eastAsia"/>
                <w:kern w:val="0"/>
                <w:sz w:val="14"/>
                <w:szCs w:val="14"/>
              </w:rPr>
              <w:t>（</w:t>
            </w:r>
            <w:r w:rsidRPr="00FD6538">
              <w:rPr>
                <w:rFonts w:ascii="標楷體" w:eastAsia="標楷體" w:hAnsi="標楷體" w:cs="DFKaiShu-SB-Estd-BF"/>
                <w:kern w:val="0"/>
                <w:sz w:val="14"/>
                <w:szCs w:val="14"/>
              </w:rPr>
              <w:t>C,</w:t>
            </w:r>
            <w:r w:rsidRPr="00FD6538">
              <w:rPr>
                <w:rFonts w:ascii="標楷體" w:eastAsia="標楷體" w:hAnsi="標楷體" w:cs="DFKaiShu-SB-Estd-BF" w:hint="eastAsia"/>
                <w:kern w:val="0"/>
                <w:sz w:val="14"/>
                <w:szCs w:val="14"/>
              </w:rPr>
              <w:t>…</w:t>
            </w:r>
            <w:r>
              <w:rPr>
                <w:rFonts w:ascii="標楷體" w:eastAsia="標楷體" w:hAnsi="標楷體" w:cs="DFKaiShu-SB-Estd-BF" w:hint="eastAsia"/>
                <w:kern w:val="0"/>
                <w:sz w:val="14"/>
                <w:szCs w:val="14"/>
              </w:rPr>
              <w:t>）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CH3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>－MOF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  <w:vertAlign w:val="subscript"/>
              </w:rPr>
              <w:t>B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CH3)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之讀表資料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合併判讀。</w:t>
            </w:r>
          </w:p>
          <w:p w14:paraId="4FBF6D24" w14:textId="77777777" w:rsidR="00B027BE" w:rsidRPr="00E04219" w:rsidRDefault="00B027BE" w:rsidP="007646A9">
            <w:pPr>
              <w:pStyle w:val="a3"/>
              <w:tabs>
                <w:tab w:val="left" w:pos="-1260"/>
              </w:tabs>
              <w:spacing w:line="440" w:lineRule="exact"/>
              <w:ind w:left="1" w:rightChars="129" w:right="310" w:firstLineChars="0" w:firstLine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6A541DD5" w14:textId="77777777" w:rsidR="00B027BE" w:rsidRDefault="00B027BE" w:rsidP="00B027BE">
      <w:pPr>
        <w:pStyle w:val="a3"/>
        <w:tabs>
          <w:tab w:val="left" w:pos="-1260"/>
        </w:tabs>
        <w:spacing w:beforeLines="30" w:before="108" w:line="440" w:lineRule="exact"/>
        <w:ind w:leftChars="118" w:left="991" w:rightChars="176" w:right="422" w:hangingChars="253" w:hanging="708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 乙方實際用電量=</w:t>
      </w:r>
      <w:r w:rsidRPr="00C36989">
        <w:rPr>
          <w:rFonts w:ascii="標楷體" w:eastAsia="標楷體" w:hAnsi="標楷體" w:cs="Arial"/>
          <w:sz w:val="28"/>
          <w:szCs w:val="28"/>
        </w:rPr>
        <w:t xml:space="preserve"> </w:t>
      </w:r>
      <w:r w:rsidRPr="00E04219">
        <w:rPr>
          <w:rFonts w:ascii="標楷體" w:eastAsia="標楷體" w:hAnsi="標楷體" w:cs="Arial"/>
          <w:sz w:val="28"/>
          <w:szCs w:val="28"/>
        </w:rPr>
        <w:t>MOF</w:t>
      </w:r>
      <w:r w:rsidRPr="00E04219">
        <w:rPr>
          <w:rFonts w:ascii="標楷體" w:eastAsia="標楷體" w:hAnsi="標楷體" w:cs="Arial" w:hint="eastAsia"/>
          <w:sz w:val="28"/>
          <w:szCs w:val="28"/>
          <w:vertAlign w:val="subscript"/>
        </w:rPr>
        <w:t>B</w:t>
      </w:r>
      <w:r w:rsidRPr="00E04219">
        <w:rPr>
          <w:rFonts w:ascii="標楷體" w:eastAsia="標楷體" w:hAnsi="標楷體" w:cs="Arial" w:hint="eastAsia"/>
          <w:sz w:val="28"/>
          <w:szCs w:val="28"/>
        </w:rPr>
        <w:t>CH1</w:t>
      </w:r>
      <w:r>
        <w:rPr>
          <w:rFonts w:ascii="標楷體" w:eastAsia="標楷體" w:hAnsi="標楷體" w:cs="Arial" w:hint="eastAsia"/>
          <w:sz w:val="28"/>
          <w:szCs w:val="28"/>
        </w:rPr>
        <w:t>＋</w:t>
      </w:r>
      <w:r w:rsidRPr="00E04219">
        <w:rPr>
          <w:rFonts w:ascii="標楷體" w:eastAsia="標楷體" w:hAnsi="標楷體" w:cs="Arial" w:hint="eastAsia"/>
          <w:sz w:val="28"/>
          <w:szCs w:val="28"/>
        </w:rPr>
        <w:t>(</w:t>
      </w:r>
      <w:r w:rsidRPr="00E04219">
        <w:rPr>
          <w:rFonts w:ascii="標楷體" w:eastAsia="標楷體" w:hAnsi="標楷體" w:cs="Arial"/>
          <w:sz w:val="28"/>
          <w:szCs w:val="28"/>
        </w:rPr>
        <w:t>MOF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A,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（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C,</w:t>
      </w:r>
      <w:r w:rsidRPr="00FD6538">
        <w:rPr>
          <w:rFonts w:ascii="標楷體" w:eastAsia="標楷體" w:hAnsi="標楷體" w:cs="DFKaiShu-SB-Estd-BF" w:hint="eastAsia"/>
          <w:kern w:val="0"/>
          <w:sz w:val="14"/>
          <w:szCs w:val="14"/>
        </w:rPr>
        <w:t>…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）</w:t>
      </w:r>
      <w:r w:rsidRPr="00E04219">
        <w:rPr>
          <w:rFonts w:ascii="標楷體" w:eastAsia="標楷體" w:hAnsi="標楷體" w:cs="Arial" w:hint="eastAsia"/>
          <w:sz w:val="28"/>
          <w:szCs w:val="28"/>
        </w:rPr>
        <w:t>CH3</w:t>
      </w:r>
      <w:r w:rsidRPr="00E04219">
        <w:rPr>
          <w:rFonts w:ascii="標楷體" w:eastAsia="標楷體" w:hAnsi="標楷體" w:cs="Arial"/>
          <w:sz w:val="28"/>
          <w:szCs w:val="28"/>
        </w:rPr>
        <w:t>－MOF</w:t>
      </w:r>
      <w:r w:rsidRPr="00E04219">
        <w:rPr>
          <w:rFonts w:ascii="標楷體" w:eastAsia="標楷體" w:hAnsi="標楷體" w:cs="Arial" w:hint="eastAsia"/>
          <w:sz w:val="28"/>
          <w:szCs w:val="28"/>
          <w:vertAlign w:val="subscript"/>
        </w:rPr>
        <w:t>B</w:t>
      </w:r>
      <w:r w:rsidRPr="00E04219">
        <w:rPr>
          <w:rFonts w:ascii="標楷體" w:eastAsia="標楷體" w:hAnsi="標楷體" w:cs="Arial" w:hint="eastAsia"/>
          <w:sz w:val="28"/>
          <w:szCs w:val="28"/>
        </w:rPr>
        <w:t>CH3)</w:t>
      </w:r>
      <w:r>
        <w:rPr>
          <w:rFonts w:ascii="標楷體" w:eastAsia="標楷體" w:hAnsi="標楷體" w:cs="Arial" w:hint="eastAsia"/>
          <w:sz w:val="28"/>
          <w:szCs w:val="28"/>
        </w:rPr>
        <w:t>，甲方將依此列入乙方</w:t>
      </w:r>
      <w:r w:rsidRPr="00D54E45">
        <w:rPr>
          <w:rFonts w:ascii="標楷體" w:eastAsia="標楷體" w:hAnsi="標楷體" w:cs="Arial" w:hint="eastAsia"/>
          <w:sz w:val="28"/>
          <w:szCs w:val="28"/>
        </w:rPr>
        <w:t>用電</w:t>
      </w:r>
      <w:proofErr w:type="gramStart"/>
      <w:r w:rsidRPr="00D54E45">
        <w:rPr>
          <w:rFonts w:ascii="標楷體" w:eastAsia="標楷體" w:hAnsi="標楷體" w:cs="Arial" w:hint="eastAsia"/>
          <w:sz w:val="28"/>
          <w:szCs w:val="28"/>
        </w:rPr>
        <w:t>電</w:t>
      </w:r>
      <w:proofErr w:type="gramEnd"/>
      <w:r w:rsidRPr="00D54E45">
        <w:rPr>
          <w:rFonts w:ascii="標楷體" w:eastAsia="標楷體" w:hAnsi="標楷體" w:cs="Arial" w:hint="eastAsia"/>
          <w:sz w:val="28"/>
          <w:szCs w:val="28"/>
        </w:rPr>
        <w:t>號：XX-XX-XXXX-XX-X(</w:t>
      </w:r>
      <w:r>
        <w:rPr>
          <w:rFonts w:ascii="標楷體" w:eastAsia="標楷體" w:hAnsi="標楷體" w:cs="Arial" w:hint="eastAsia"/>
          <w:sz w:val="28"/>
          <w:szCs w:val="28"/>
        </w:rPr>
        <w:t>高壓以上或低壓用戶</w:t>
      </w:r>
      <w:r w:rsidRPr="00D54E45">
        <w:rPr>
          <w:rFonts w:ascii="標楷體" w:eastAsia="標楷體" w:hAnsi="標楷體" w:cs="Arial" w:hint="eastAsia"/>
          <w:sz w:val="28"/>
          <w:szCs w:val="28"/>
        </w:rPr>
        <w:t>)之電費收取。</w:t>
      </w:r>
    </w:p>
    <w:p w14:paraId="452C0A6E" w14:textId="77777777" w:rsidR="002C7E8D" w:rsidRPr="00B027BE" w:rsidRDefault="002C7E8D"/>
    <w:sectPr w:rsidR="002C7E8D" w:rsidRPr="00B027BE" w:rsidSect="00B027BE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77"/>
    <w:rsid w:val="002C7E8D"/>
    <w:rsid w:val="00981877"/>
    <w:rsid w:val="00B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10E7-AD6D-498A-B2CC-B4398095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27BE"/>
    <w:pPr>
      <w:autoSpaceDE w:val="0"/>
      <w:autoSpaceDN w:val="0"/>
      <w:adjustRightInd w:val="0"/>
      <w:snapToGrid w:val="0"/>
      <w:spacing w:line="400" w:lineRule="atLeast"/>
      <w:ind w:left="1560" w:hangingChars="600" w:hanging="1560"/>
    </w:pPr>
    <w:rPr>
      <w:rFonts w:ascii="新細明體" w:eastAsia="新細明體" w:hAnsi="Times New Roman" w:cs="Times New Roman"/>
      <w:sz w:val="26"/>
      <w:szCs w:val="24"/>
    </w:rPr>
  </w:style>
  <w:style w:type="character" w:customStyle="1" w:styleId="a4">
    <w:name w:val="本文縮排 字元"/>
    <w:basedOn w:val="a0"/>
    <w:link w:val="a3"/>
    <w:rsid w:val="00B027BE"/>
    <w:rPr>
      <w:rFonts w:ascii="新細明體" w:eastAsia="新細明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業務處</dc:creator>
  <cp:keywords/>
  <dc:description/>
  <cp:lastModifiedBy>業務處</cp:lastModifiedBy>
  <cp:revision>2</cp:revision>
  <dcterms:created xsi:type="dcterms:W3CDTF">2023-02-06T04:44:00Z</dcterms:created>
  <dcterms:modified xsi:type="dcterms:W3CDTF">2023-02-06T04:45:00Z</dcterms:modified>
</cp:coreProperties>
</file>